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6D" w:rsidRPr="004A669A" w:rsidRDefault="008F26A5" w:rsidP="00FA34E8">
      <w:pPr>
        <w:spacing w:after="0" w:line="240" w:lineRule="auto"/>
        <w:rPr>
          <w:sz w:val="32"/>
          <w:szCs w:val="32"/>
        </w:rPr>
      </w:pPr>
      <w:r w:rsidRPr="004A669A">
        <w:rPr>
          <w:b/>
          <w:noProo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drawing>
          <wp:anchor distT="0" distB="0" distL="114300" distR="114300" simplePos="0" relativeHeight="251658240" behindDoc="1" locked="0" layoutInCell="1" allowOverlap="1" wp14:anchorId="4A724D6A" wp14:editId="1E10B619">
            <wp:simplePos x="0" y="0"/>
            <wp:positionH relativeFrom="column">
              <wp:posOffset>38100</wp:posOffset>
            </wp:positionH>
            <wp:positionV relativeFrom="page">
              <wp:posOffset>409575</wp:posOffset>
            </wp:positionV>
            <wp:extent cx="1619250" cy="1619250"/>
            <wp:effectExtent l="0" t="0" r="0" b="0"/>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1D156D" w:rsidRPr="004A669A">
        <w:rPr>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SPECIAL TECHNICAL OPERATIONS PLANNER COURSE (STOPC)</w:t>
      </w:r>
    </w:p>
    <w:p w:rsidR="001D156D" w:rsidRPr="00C208DA" w:rsidRDefault="001D156D" w:rsidP="00FA34E8">
      <w:pPr>
        <w:spacing w:after="0" w:line="240" w:lineRule="auto"/>
        <w:rPr>
          <w:sz w:val="24"/>
          <w:szCs w:val="24"/>
        </w:rPr>
      </w:pPr>
      <w:r w:rsidRPr="00C208DA">
        <w:rPr>
          <w:b/>
          <w:sz w:val="24"/>
          <w:szCs w:val="24"/>
        </w:rPr>
        <w:t>Course Location:</w:t>
      </w:r>
      <w:r w:rsidRPr="00C208DA">
        <w:rPr>
          <w:sz w:val="24"/>
          <w:szCs w:val="24"/>
        </w:rPr>
        <w:t xml:space="preserve">  </w:t>
      </w:r>
      <w:r w:rsidR="00FA34E8" w:rsidRPr="00C208DA">
        <w:rPr>
          <w:sz w:val="24"/>
          <w:szCs w:val="24"/>
        </w:rPr>
        <w:t>Ft Sill</w:t>
      </w:r>
      <w:r w:rsidRPr="00C208DA">
        <w:rPr>
          <w:sz w:val="24"/>
          <w:szCs w:val="24"/>
        </w:rPr>
        <w:t xml:space="preserve"> and </w:t>
      </w:r>
      <w:r w:rsidR="00FA34E8" w:rsidRPr="00C208DA">
        <w:rPr>
          <w:sz w:val="24"/>
          <w:szCs w:val="24"/>
        </w:rPr>
        <w:t>various off-site locations as needed.</w:t>
      </w:r>
    </w:p>
    <w:p w:rsidR="001D156D" w:rsidRPr="00C208DA" w:rsidRDefault="001D156D" w:rsidP="00FA34E8">
      <w:pPr>
        <w:spacing w:after="0" w:line="240" w:lineRule="auto"/>
        <w:rPr>
          <w:sz w:val="24"/>
          <w:szCs w:val="24"/>
        </w:rPr>
      </w:pPr>
      <w:r w:rsidRPr="00C208DA">
        <w:rPr>
          <w:b/>
          <w:sz w:val="24"/>
          <w:szCs w:val="24"/>
        </w:rPr>
        <w:t>Course Length</w:t>
      </w:r>
      <w:r w:rsidRPr="00C208DA">
        <w:rPr>
          <w:sz w:val="24"/>
          <w:szCs w:val="24"/>
        </w:rPr>
        <w:t>: 1 Week</w:t>
      </w:r>
    </w:p>
    <w:p w:rsidR="00356C5B" w:rsidRPr="00C208DA" w:rsidRDefault="00356C5B" w:rsidP="00FA34E8">
      <w:pPr>
        <w:spacing w:after="0" w:line="240" w:lineRule="auto"/>
        <w:rPr>
          <w:sz w:val="24"/>
          <w:szCs w:val="24"/>
        </w:rPr>
      </w:pPr>
    </w:p>
    <w:p w:rsidR="001D156D" w:rsidRDefault="001D156D" w:rsidP="00FA34E8">
      <w:pPr>
        <w:spacing w:after="0" w:line="240" w:lineRule="auto"/>
        <w:rPr>
          <w:b/>
          <w:sz w:val="24"/>
          <w:szCs w:val="24"/>
        </w:rPr>
      </w:pPr>
      <w:r w:rsidRPr="00C208DA">
        <w:rPr>
          <w:b/>
          <w:sz w:val="24"/>
          <w:szCs w:val="24"/>
        </w:rPr>
        <w:t>Prerequisites:</w:t>
      </w:r>
    </w:p>
    <w:p w:rsidR="001D156D" w:rsidRPr="00C208DA" w:rsidRDefault="001D156D" w:rsidP="00FA34E8">
      <w:pPr>
        <w:spacing w:after="0" w:line="240" w:lineRule="auto"/>
        <w:rPr>
          <w:sz w:val="24"/>
          <w:szCs w:val="24"/>
        </w:rPr>
      </w:pPr>
      <w:r w:rsidRPr="00C208DA">
        <w:rPr>
          <w:sz w:val="24"/>
          <w:szCs w:val="24"/>
        </w:rPr>
        <w:t>TS/SCI/TK security clearance and read-on access</w:t>
      </w:r>
    </w:p>
    <w:p w:rsidR="001D156D" w:rsidRPr="00C208DA" w:rsidRDefault="003E3DB6" w:rsidP="00FA34E8">
      <w:pPr>
        <w:spacing w:after="0" w:line="240" w:lineRule="auto"/>
        <w:rPr>
          <w:sz w:val="24"/>
          <w:szCs w:val="24"/>
        </w:rPr>
      </w:pPr>
      <w:r w:rsidRPr="00C208DA">
        <w:rPr>
          <w:sz w:val="24"/>
          <w:szCs w:val="24"/>
        </w:rPr>
        <w:t xml:space="preserve">Rank: </w:t>
      </w:r>
      <w:r w:rsidR="008D4B10">
        <w:rPr>
          <w:sz w:val="24"/>
          <w:szCs w:val="24"/>
        </w:rPr>
        <w:t>1LT</w:t>
      </w:r>
      <w:r w:rsidR="001D156D" w:rsidRPr="00C208DA">
        <w:rPr>
          <w:sz w:val="24"/>
          <w:szCs w:val="24"/>
        </w:rPr>
        <w:t xml:space="preserve"> – COL, </w:t>
      </w:r>
      <w:r w:rsidR="008D4B10">
        <w:rPr>
          <w:sz w:val="24"/>
          <w:szCs w:val="24"/>
        </w:rPr>
        <w:t xml:space="preserve">WO1 </w:t>
      </w:r>
      <w:r w:rsidR="001D156D" w:rsidRPr="00C208DA">
        <w:rPr>
          <w:sz w:val="24"/>
          <w:szCs w:val="24"/>
        </w:rPr>
        <w:t xml:space="preserve">– </w:t>
      </w:r>
      <w:r w:rsidR="008D4B10">
        <w:rPr>
          <w:sz w:val="24"/>
          <w:szCs w:val="24"/>
        </w:rPr>
        <w:t>C</w:t>
      </w:r>
      <w:r w:rsidR="001D156D" w:rsidRPr="00C208DA">
        <w:rPr>
          <w:sz w:val="24"/>
          <w:szCs w:val="24"/>
        </w:rPr>
        <w:t>W5</w:t>
      </w:r>
      <w:r w:rsidR="008D4B10">
        <w:rPr>
          <w:sz w:val="24"/>
          <w:szCs w:val="24"/>
        </w:rPr>
        <w:t>, SSG- SGM</w:t>
      </w:r>
      <w:bookmarkStart w:id="0" w:name="_GoBack"/>
      <w:bookmarkEnd w:id="0"/>
    </w:p>
    <w:p w:rsidR="001D156D" w:rsidRPr="00C208DA" w:rsidRDefault="001D156D" w:rsidP="00FA34E8">
      <w:pPr>
        <w:spacing w:after="0" w:line="240" w:lineRule="auto"/>
        <w:rPr>
          <w:sz w:val="24"/>
          <w:szCs w:val="24"/>
        </w:rPr>
      </w:pPr>
      <w:r w:rsidRPr="00C208DA">
        <w:rPr>
          <w:sz w:val="24"/>
          <w:szCs w:val="24"/>
        </w:rPr>
        <w:t xml:space="preserve">Assigned </w:t>
      </w:r>
      <w:r w:rsidR="003E3DB6" w:rsidRPr="00C208DA">
        <w:rPr>
          <w:sz w:val="24"/>
          <w:szCs w:val="24"/>
        </w:rPr>
        <w:t>to a</w:t>
      </w:r>
      <w:r w:rsidRPr="00C208DA">
        <w:rPr>
          <w:sz w:val="24"/>
          <w:szCs w:val="24"/>
        </w:rPr>
        <w:t xml:space="preserve"> STO billet at DIV, CORPS, ASCC or </w:t>
      </w:r>
      <w:r w:rsidR="003E3DB6" w:rsidRPr="00C208DA">
        <w:rPr>
          <w:sz w:val="24"/>
          <w:szCs w:val="24"/>
        </w:rPr>
        <w:t>ARCYBER</w:t>
      </w:r>
    </w:p>
    <w:p w:rsidR="00FA34E8" w:rsidRPr="00C208DA" w:rsidRDefault="00FA34E8" w:rsidP="00FA34E8">
      <w:pPr>
        <w:spacing w:after="0" w:line="240" w:lineRule="auto"/>
        <w:rPr>
          <w:sz w:val="24"/>
          <w:szCs w:val="24"/>
        </w:rPr>
      </w:pPr>
    </w:p>
    <w:p w:rsidR="003E3DB6" w:rsidRPr="00C208DA" w:rsidRDefault="003E3DB6" w:rsidP="00356C5B">
      <w:pPr>
        <w:spacing w:after="0" w:line="240" w:lineRule="auto"/>
        <w:rPr>
          <w:sz w:val="24"/>
          <w:szCs w:val="24"/>
        </w:rPr>
      </w:pPr>
      <w:r w:rsidRPr="00C208DA">
        <w:rPr>
          <w:b/>
          <w:sz w:val="24"/>
          <w:szCs w:val="24"/>
        </w:rPr>
        <w:t>Course Overview</w:t>
      </w:r>
      <w:proofErr w:type="gramStart"/>
      <w:r w:rsidRPr="00C208DA">
        <w:rPr>
          <w:b/>
          <w:sz w:val="24"/>
          <w:szCs w:val="24"/>
        </w:rPr>
        <w:t>:</w:t>
      </w:r>
      <w:proofErr w:type="gramEnd"/>
      <w:r w:rsidRPr="00C208DA">
        <w:rPr>
          <w:sz w:val="24"/>
          <w:szCs w:val="24"/>
        </w:rPr>
        <w:br/>
      </w:r>
      <w:r w:rsidR="00D76650" w:rsidRPr="00C208DA">
        <w:rPr>
          <w:sz w:val="24"/>
          <w:szCs w:val="24"/>
        </w:rPr>
        <w:t>Emphasis is on U.S. Army and Joint doctrine, tactics, techniques, and procedures (TTP) to prepare Officers, Warrant Officers, NCOs, Civilians and select Contractors to participate in STO coordination, planning and execution at the tactical and operational levels in a variety of U.S. Army and Joint organizations.</w:t>
      </w:r>
    </w:p>
    <w:p w:rsidR="00356C5B" w:rsidRPr="00C208DA" w:rsidRDefault="00356C5B" w:rsidP="00356C5B">
      <w:pPr>
        <w:spacing w:after="0" w:line="240" w:lineRule="auto"/>
        <w:rPr>
          <w:sz w:val="24"/>
          <w:szCs w:val="24"/>
        </w:rPr>
      </w:pPr>
    </w:p>
    <w:p w:rsidR="00356C5B" w:rsidRPr="00C208DA" w:rsidRDefault="00356C5B" w:rsidP="00356C5B">
      <w:pPr>
        <w:spacing w:after="0" w:line="240" w:lineRule="auto"/>
        <w:rPr>
          <w:b/>
          <w:sz w:val="24"/>
          <w:szCs w:val="24"/>
        </w:rPr>
      </w:pPr>
      <w:r w:rsidRPr="00C208DA">
        <w:rPr>
          <w:b/>
          <w:sz w:val="24"/>
          <w:szCs w:val="24"/>
        </w:rPr>
        <w:t>Course dates:</w:t>
      </w:r>
    </w:p>
    <w:tbl>
      <w:tblPr>
        <w:tblW w:w="6565" w:type="dxa"/>
        <w:tblLook w:val="04A0" w:firstRow="1" w:lastRow="0" w:firstColumn="1" w:lastColumn="0" w:noHBand="0" w:noVBand="1"/>
      </w:tblPr>
      <w:tblGrid>
        <w:gridCol w:w="750"/>
        <w:gridCol w:w="1470"/>
        <w:gridCol w:w="1645"/>
        <w:gridCol w:w="2700"/>
      </w:tblGrid>
      <w:tr w:rsidR="00356C5B" w:rsidRPr="00356C5B" w:rsidTr="00D76650">
        <w:trPr>
          <w:trHeight w:val="330"/>
        </w:trPr>
        <w:tc>
          <w:tcPr>
            <w:tcW w:w="7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56C5B" w:rsidRPr="00356C5B" w:rsidRDefault="00356C5B" w:rsidP="00356C5B">
            <w:pPr>
              <w:spacing w:after="0" w:line="240" w:lineRule="auto"/>
              <w:jc w:val="center"/>
              <w:rPr>
                <w:rFonts w:eastAsia="Times New Roman" w:cs="Arial"/>
                <w:b/>
                <w:bCs/>
                <w:sz w:val="24"/>
                <w:szCs w:val="24"/>
              </w:rPr>
            </w:pPr>
            <w:r w:rsidRPr="00356C5B">
              <w:rPr>
                <w:rFonts w:eastAsia="Times New Roman" w:cs="Arial"/>
                <w:b/>
                <w:bCs/>
                <w:sz w:val="24"/>
                <w:szCs w:val="24"/>
              </w:rPr>
              <w:t>Class</w:t>
            </w:r>
          </w:p>
        </w:tc>
        <w:tc>
          <w:tcPr>
            <w:tcW w:w="1470" w:type="dxa"/>
            <w:tcBorders>
              <w:top w:val="single" w:sz="4" w:space="0" w:color="auto"/>
              <w:left w:val="nil"/>
              <w:bottom w:val="single" w:sz="4" w:space="0" w:color="auto"/>
              <w:right w:val="single" w:sz="4" w:space="0" w:color="auto"/>
            </w:tcBorders>
            <w:shd w:val="clear" w:color="000000" w:fill="C0C0C0"/>
            <w:vAlign w:val="bottom"/>
            <w:hideMark/>
          </w:tcPr>
          <w:p w:rsidR="00356C5B" w:rsidRPr="00356C5B" w:rsidRDefault="00356C5B" w:rsidP="00356C5B">
            <w:pPr>
              <w:spacing w:after="0" w:line="240" w:lineRule="auto"/>
              <w:jc w:val="center"/>
              <w:rPr>
                <w:rFonts w:eastAsia="Times New Roman" w:cs="Arial"/>
                <w:b/>
                <w:bCs/>
                <w:sz w:val="24"/>
                <w:szCs w:val="24"/>
              </w:rPr>
            </w:pPr>
            <w:r w:rsidRPr="00356C5B">
              <w:rPr>
                <w:rFonts w:eastAsia="Times New Roman" w:cs="Arial"/>
                <w:b/>
                <w:bCs/>
                <w:sz w:val="24"/>
                <w:szCs w:val="24"/>
              </w:rPr>
              <w:t>Start Date</w:t>
            </w:r>
          </w:p>
        </w:tc>
        <w:tc>
          <w:tcPr>
            <w:tcW w:w="1645" w:type="dxa"/>
            <w:tcBorders>
              <w:top w:val="single" w:sz="4" w:space="0" w:color="auto"/>
              <w:left w:val="nil"/>
              <w:bottom w:val="single" w:sz="4" w:space="0" w:color="auto"/>
              <w:right w:val="single" w:sz="4" w:space="0" w:color="auto"/>
            </w:tcBorders>
            <w:shd w:val="clear" w:color="000000" w:fill="C0C0C0"/>
            <w:vAlign w:val="bottom"/>
            <w:hideMark/>
          </w:tcPr>
          <w:p w:rsidR="00356C5B" w:rsidRPr="00356C5B" w:rsidRDefault="00356C5B" w:rsidP="00356C5B">
            <w:pPr>
              <w:spacing w:after="0" w:line="240" w:lineRule="auto"/>
              <w:jc w:val="center"/>
              <w:rPr>
                <w:rFonts w:eastAsia="Times New Roman" w:cs="Arial"/>
                <w:b/>
                <w:bCs/>
                <w:sz w:val="24"/>
                <w:szCs w:val="24"/>
              </w:rPr>
            </w:pPr>
            <w:r w:rsidRPr="00356C5B">
              <w:rPr>
                <w:rFonts w:eastAsia="Times New Roman" w:cs="Arial"/>
                <w:b/>
                <w:bCs/>
                <w:sz w:val="24"/>
                <w:szCs w:val="24"/>
              </w:rPr>
              <w:t>End Date</w:t>
            </w:r>
          </w:p>
        </w:tc>
        <w:tc>
          <w:tcPr>
            <w:tcW w:w="2700" w:type="dxa"/>
            <w:tcBorders>
              <w:top w:val="single" w:sz="4" w:space="0" w:color="auto"/>
              <w:left w:val="nil"/>
              <w:bottom w:val="single" w:sz="4" w:space="0" w:color="auto"/>
              <w:right w:val="single" w:sz="4" w:space="0" w:color="auto"/>
            </w:tcBorders>
            <w:shd w:val="clear" w:color="000000" w:fill="C0C0C0"/>
            <w:vAlign w:val="bottom"/>
            <w:hideMark/>
          </w:tcPr>
          <w:p w:rsidR="00356C5B" w:rsidRPr="00356C5B" w:rsidRDefault="00356C5B" w:rsidP="00356C5B">
            <w:pPr>
              <w:spacing w:after="0" w:line="240" w:lineRule="auto"/>
              <w:jc w:val="center"/>
              <w:rPr>
                <w:rFonts w:eastAsia="Times New Roman" w:cs="Arial"/>
                <w:b/>
                <w:bCs/>
                <w:sz w:val="24"/>
                <w:szCs w:val="24"/>
              </w:rPr>
            </w:pPr>
            <w:r w:rsidRPr="00356C5B">
              <w:rPr>
                <w:rFonts w:eastAsia="Times New Roman" w:cs="Arial"/>
                <w:b/>
                <w:bCs/>
                <w:sz w:val="24"/>
                <w:szCs w:val="24"/>
              </w:rPr>
              <w:t>Location</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701</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2015-10-26</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2015-10-30</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COLORADO SPRINGS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702</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2015-11-16</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2015-11-20</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BRAGG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001</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2015-12-07</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2015-12-11</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SILL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703</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2016-01-25</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2016-01-29</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YONGSAN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704</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2016-02-22</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2016-02-26</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JBLM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002</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2016-03-07</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2016-03-11</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SILL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003</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2016-04-18</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2016-04-22</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SILL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705</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2016-05-16</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2016-05-20</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HOOD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706</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2016-06-13</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2016-06-17</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SHAFTER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004</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2016-07-18</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2016-07-22</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SILL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708</w:t>
            </w:r>
          </w:p>
        </w:tc>
        <w:tc>
          <w:tcPr>
            <w:tcW w:w="147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2016-09-12</w:t>
            </w:r>
          </w:p>
        </w:tc>
        <w:tc>
          <w:tcPr>
            <w:tcW w:w="1645"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2016-09-16</w:t>
            </w:r>
          </w:p>
        </w:tc>
        <w:tc>
          <w:tcPr>
            <w:tcW w:w="2700" w:type="dxa"/>
            <w:tcBorders>
              <w:top w:val="nil"/>
              <w:left w:val="nil"/>
              <w:bottom w:val="single" w:sz="4" w:space="0" w:color="auto"/>
              <w:right w:val="single" w:sz="4" w:space="0" w:color="auto"/>
            </w:tcBorders>
            <w:shd w:val="clear" w:color="000000" w:fill="F5F5F5"/>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GRAFENWOEHR      </w:t>
            </w:r>
          </w:p>
        </w:tc>
      </w:tr>
      <w:tr w:rsidR="00356C5B" w:rsidRPr="00356C5B" w:rsidTr="00D7665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700</w:t>
            </w:r>
          </w:p>
        </w:tc>
        <w:tc>
          <w:tcPr>
            <w:tcW w:w="147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2016-09-19</w:t>
            </w:r>
          </w:p>
        </w:tc>
        <w:tc>
          <w:tcPr>
            <w:tcW w:w="1645"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jc w:val="center"/>
              <w:rPr>
                <w:rFonts w:eastAsia="Times New Roman" w:cs="Arial"/>
                <w:sz w:val="24"/>
                <w:szCs w:val="24"/>
              </w:rPr>
            </w:pPr>
            <w:r w:rsidRPr="00356C5B">
              <w:rPr>
                <w:rFonts w:eastAsia="Times New Roman" w:cs="Arial"/>
                <w:sz w:val="24"/>
                <w:szCs w:val="24"/>
              </w:rPr>
              <w:t>2016-09-23</w:t>
            </w:r>
          </w:p>
        </w:tc>
        <w:tc>
          <w:tcPr>
            <w:tcW w:w="2700" w:type="dxa"/>
            <w:tcBorders>
              <w:top w:val="nil"/>
              <w:left w:val="nil"/>
              <w:bottom w:val="single" w:sz="4" w:space="0" w:color="auto"/>
              <w:right w:val="single" w:sz="4" w:space="0" w:color="auto"/>
            </w:tcBorders>
            <w:shd w:val="clear" w:color="auto" w:fill="auto"/>
            <w:noWrap/>
            <w:vAlign w:val="bottom"/>
            <w:hideMark/>
          </w:tcPr>
          <w:p w:rsidR="00356C5B" w:rsidRPr="00356C5B" w:rsidRDefault="00356C5B" w:rsidP="00356C5B">
            <w:pPr>
              <w:spacing w:after="0" w:line="240" w:lineRule="auto"/>
              <w:rPr>
                <w:rFonts w:eastAsia="Times New Roman" w:cs="Arial"/>
                <w:sz w:val="24"/>
                <w:szCs w:val="24"/>
              </w:rPr>
            </w:pPr>
            <w:r w:rsidRPr="00356C5B">
              <w:rPr>
                <w:rFonts w:eastAsia="Times New Roman" w:cs="Arial"/>
                <w:sz w:val="24"/>
                <w:szCs w:val="24"/>
              </w:rPr>
              <w:t xml:space="preserve">FT SILL          </w:t>
            </w:r>
          </w:p>
        </w:tc>
      </w:tr>
    </w:tbl>
    <w:p w:rsidR="00356C5B" w:rsidRDefault="00356C5B" w:rsidP="00356C5B">
      <w:pPr>
        <w:spacing w:after="0" w:line="240" w:lineRule="auto"/>
      </w:pPr>
    </w:p>
    <w:p w:rsidR="001D156D" w:rsidRPr="00C208DA" w:rsidRDefault="00D76650" w:rsidP="00C208DA">
      <w:pPr>
        <w:spacing w:after="0" w:line="240" w:lineRule="auto"/>
        <w:rPr>
          <w:b/>
          <w:sz w:val="24"/>
          <w:szCs w:val="24"/>
        </w:rPr>
      </w:pPr>
      <w:r w:rsidRPr="00C208DA">
        <w:rPr>
          <w:b/>
          <w:sz w:val="24"/>
          <w:szCs w:val="24"/>
        </w:rPr>
        <w:t>Enrollment:</w:t>
      </w:r>
    </w:p>
    <w:p w:rsidR="00C208DA" w:rsidRPr="00C208DA" w:rsidRDefault="00D76650" w:rsidP="00C208DA">
      <w:pPr>
        <w:spacing w:after="0" w:line="240" w:lineRule="auto"/>
        <w:rPr>
          <w:sz w:val="24"/>
          <w:szCs w:val="24"/>
        </w:rPr>
      </w:pPr>
      <w:r w:rsidRPr="00C208DA">
        <w:rPr>
          <w:sz w:val="24"/>
          <w:szCs w:val="24"/>
        </w:rPr>
        <w:t xml:space="preserve">Through ATRRS under school code 061.  Course: </w:t>
      </w:r>
      <w:hyperlink r:id="rId5" w:history="1">
        <w:r w:rsidRPr="00C208DA">
          <w:rPr>
            <w:rStyle w:val="Hyperlink"/>
            <w:color w:val="auto"/>
            <w:sz w:val="24"/>
            <w:szCs w:val="24"/>
            <w:u w:val="none"/>
          </w:rPr>
          <w:t>2E-F280/250-F69 (RP)</w:t>
        </w:r>
      </w:hyperlink>
    </w:p>
    <w:p w:rsidR="00A07AEE" w:rsidRDefault="00A07AEE" w:rsidP="00C208DA">
      <w:pPr>
        <w:jc w:val="center"/>
      </w:pPr>
      <w:r>
        <w:rPr>
          <w:noProof/>
        </w:rPr>
        <w:drawing>
          <wp:inline distT="0" distB="0" distL="0" distR="0" wp14:anchorId="0B18E86D" wp14:editId="55994F59">
            <wp:extent cx="57721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2150" cy="2486025"/>
                    </a:xfrm>
                    <a:prstGeom prst="rect">
                      <a:avLst/>
                    </a:prstGeom>
                  </pic:spPr>
                </pic:pic>
              </a:graphicData>
            </a:graphic>
          </wp:inline>
        </w:drawing>
      </w:r>
    </w:p>
    <w:p w:rsidR="00C208DA" w:rsidRPr="009D34B2" w:rsidRDefault="009D34B2" w:rsidP="00A07AEE">
      <w:pPr>
        <w:rPr>
          <w:sz w:val="24"/>
          <w:szCs w:val="24"/>
        </w:rPr>
      </w:pPr>
      <w:r w:rsidRPr="009D34B2">
        <w:rPr>
          <w:b/>
          <w:sz w:val="24"/>
          <w:szCs w:val="24"/>
        </w:rPr>
        <w:t>NOTE:</w:t>
      </w:r>
      <w:r w:rsidRPr="009D34B2">
        <w:rPr>
          <w:sz w:val="24"/>
          <w:szCs w:val="24"/>
        </w:rPr>
        <w:t xml:space="preserve">  </w:t>
      </w:r>
      <w:r w:rsidR="00A07AEE" w:rsidRPr="009D34B2">
        <w:rPr>
          <w:sz w:val="24"/>
          <w:szCs w:val="24"/>
        </w:rPr>
        <w:t>S</w:t>
      </w:r>
      <w:r w:rsidRPr="009D34B2">
        <w:rPr>
          <w:sz w:val="24"/>
          <w:szCs w:val="24"/>
        </w:rPr>
        <w:t xml:space="preserve">kill Identifiers </w:t>
      </w:r>
      <w:r w:rsidR="00A07AEE" w:rsidRPr="009D34B2">
        <w:rPr>
          <w:sz w:val="24"/>
          <w:szCs w:val="24"/>
        </w:rPr>
        <w:t xml:space="preserve">V8 (STO Planner) and V9 (STO Chief) </w:t>
      </w:r>
      <w:r w:rsidRPr="009D34B2">
        <w:rPr>
          <w:sz w:val="24"/>
          <w:szCs w:val="24"/>
        </w:rPr>
        <w:t xml:space="preserve">are NOT awarded solely for course completion.  Graduates must also successfully serve in a STO billet and submit a request to HQDA, ODCS, G-3/5/7, </w:t>
      </w:r>
      <w:proofErr w:type="gramStart"/>
      <w:r w:rsidRPr="009D34B2">
        <w:rPr>
          <w:sz w:val="24"/>
          <w:szCs w:val="24"/>
        </w:rPr>
        <w:t>DAMO</w:t>
      </w:r>
      <w:proofErr w:type="gramEnd"/>
      <w:r w:rsidRPr="009D34B2">
        <w:rPr>
          <w:sz w:val="24"/>
          <w:szCs w:val="24"/>
        </w:rPr>
        <w:t xml:space="preserve"> ODG for award.  More information can be found in DA PAM 611-21.  </w:t>
      </w:r>
    </w:p>
    <w:sectPr w:rsidR="00C208DA" w:rsidRPr="009D34B2" w:rsidSect="00C20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6D"/>
    <w:rsid w:val="001D156D"/>
    <w:rsid w:val="00356C5B"/>
    <w:rsid w:val="003E3DB6"/>
    <w:rsid w:val="004A669A"/>
    <w:rsid w:val="00535309"/>
    <w:rsid w:val="00781D19"/>
    <w:rsid w:val="008D4B10"/>
    <w:rsid w:val="008F26A5"/>
    <w:rsid w:val="009D34B2"/>
    <w:rsid w:val="00A07AEE"/>
    <w:rsid w:val="00AF5F78"/>
    <w:rsid w:val="00C208DA"/>
    <w:rsid w:val="00D76650"/>
    <w:rsid w:val="00E31B92"/>
    <w:rsid w:val="00FA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481DA-635C-4A63-83ED-2B8B2227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C5B"/>
    <w:rPr>
      <w:color w:val="0563C1" w:themeColor="hyperlink"/>
      <w:u w:val="single"/>
    </w:rPr>
  </w:style>
  <w:style w:type="paragraph" w:styleId="BalloonText">
    <w:name w:val="Balloon Text"/>
    <w:basedOn w:val="Normal"/>
    <w:link w:val="BalloonTextChar"/>
    <w:uiPriority w:val="99"/>
    <w:semiHidden/>
    <w:unhideWhenUsed/>
    <w:rsid w:val="00E31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6491">
      <w:bodyDiv w:val="1"/>
      <w:marLeft w:val="0"/>
      <w:marRight w:val="0"/>
      <w:marTop w:val="0"/>
      <w:marBottom w:val="0"/>
      <w:divBdr>
        <w:top w:val="none" w:sz="0" w:space="0" w:color="auto"/>
        <w:left w:val="none" w:sz="0" w:space="0" w:color="auto"/>
        <w:bottom w:val="none" w:sz="0" w:space="0" w:color="auto"/>
        <w:right w:val="none" w:sz="0" w:space="0" w:color="auto"/>
      </w:divBdr>
    </w:div>
    <w:div w:id="1729644023">
      <w:bodyDiv w:val="1"/>
      <w:marLeft w:val="0"/>
      <w:marRight w:val="0"/>
      <w:marTop w:val="0"/>
      <w:marBottom w:val="0"/>
      <w:divBdr>
        <w:top w:val="none" w:sz="0" w:space="0" w:color="auto"/>
        <w:left w:val="none" w:sz="0" w:space="0" w:color="auto"/>
        <w:bottom w:val="none" w:sz="0" w:space="0" w:color="auto"/>
        <w:right w:val="none" w:sz="0" w:space="0" w:color="auto"/>
      </w:divBdr>
    </w:div>
    <w:div w:id="20177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trrs.army.mil/atrrscc/courseInfo.aspx?fy=2016&amp;sch=061&amp;crs=2E-F280%2f250-F69+(RP)&amp;crstitle=US+ARMY+SPECIAL+TECHNICAL+OPERATIONS+PLANNER&amp;pha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nicole.knight</dc:creator>
  <cp:keywords/>
  <dc:description/>
  <cp:lastModifiedBy>nicole.knight</cp:lastModifiedBy>
  <cp:revision>4</cp:revision>
  <cp:lastPrinted>2015-10-09T14:01:00Z</cp:lastPrinted>
  <dcterms:created xsi:type="dcterms:W3CDTF">2015-10-08T20:23:00Z</dcterms:created>
  <dcterms:modified xsi:type="dcterms:W3CDTF">2015-10-13T17:58:00Z</dcterms:modified>
</cp:coreProperties>
</file>